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7D53C2">
        <w:t>75</w:t>
      </w:r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BC7E9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Д</w:t>
      </w:r>
      <w:r w:rsidR="00A25BC6">
        <w:rPr>
          <w:sz w:val="22"/>
          <w:szCs w:val="22"/>
        </w:rPr>
        <w:t xml:space="preserve">иректор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жилищно-коммунального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хозяйства города Когалым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r w:rsidR="00BC7E96">
        <w:rPr>
          <w:sz w:val="22"/>
          <w:szCs w:val="22"/>
        </w:rPr>
        <w:t>Э.Н.Голубцов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lastRenderedPageBreak/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651B7D" w:rsidRDefault="00545C5B" w:rsidP="00545C5B">
      <w:pPr>
        <w:pStyle w:val="Standard"/>
      </w:pPr>
      <w:r w:rsidRPr="00B26A38">
        <w:t xml:space="preserve"> </w:t>
      </w:r>
    </w:p>
    <w:p w:rsidR="00545C5B" w:rsidRPr="00B26A38" w:rsidRDefault="00545C5B" w:rsidP="00545C5B">
      <w:pPr>
        <w:pStyle w:val="Standard"/>
      </w:pPr>
      <w:bookmarkStart w:id="0" w:name="_GoBack"/>
      <w:bookmarkEnd w:id="0"/>
      <w:r w:rsidRPr="00B26A38">
        <w:t>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E50" w:rsidRDefault="001C1E50" w:rsidP="00545C5B">
      <w:pPr>
        <w:pStyle w:val="Standard"/>
      </w:pPr>
    </w:p>
    <w:p w:rsidR="001C1E50" w:rsidRDefault="001C1E50" w:rsidP="00545C5B">
      <w:pPr>
        <w:pStyle w:val="Standard"/>
      </w:pPr>
    </w:p>
    <w:p w:rsidR="003706AB" w:rsidRDefault="001C1E50" w:rsidP="00545C5B">
      <w:pPr>
        <w:pStyle w:val="Standard"/>
      </w:pPr>
      <w:r w:rsidRPr="001C1E50">
        <w:t>_____________ Начальник ПТО МКУ «УЖКХ г. Когалыма» Кудла А.В.</w:t>
      </w:r>
    </w:p>
    <w:sectPr w:rsidR="003706A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21A28"/>
    <w:rsid w:val="000E21DB"/>
    <w:rsid w:val="000E47ED"/>
    <w:rsid w:val="0010151A"/>
    <w:rsid w:val="00136EC3"/>
    <w:rsid w:val="00150543"/>
    <w:rsid w:val="001C1E50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461F8"/>
    <w:rsid w:val="00651B7D"/>
    <w:rsid w:val="0066188F"/>
    <w:rsid w:val="006E0648"/>
    <w:rsid w:val="0070791D"/>
    <w:rsid w:val="00710C88"/>
    <w:rsid w:val="00752CCB"/>
    <w:rsid w:val="00764AB8"/>
    <w:rsid w:val="0078023D"/>
    <w:rsid w:val="007D53C2"/>
    <w:rsid w:val="00892581"/>
    <w:rsid w:val="00922B92"/>
    <w:rsid w:val="00924097"/>
    <w:rsid w:val="00947348"/>
    <w:rsid w:val="00973988"/>
    <w:rsid w:val="00A25BC6"/>
    <w:rsid w:val="00A26405"/>
    <w:rsid w:val="00A81D6C"/>
    <w:rsid w:val="00AA52EF"/>
    <w:rsid w:val="00AF0A6F"/>
    <w:rsid w:val="00B340D4"/>
    <w:rsid w:val="00B93EA7"/>
    <w:rsid w:val="00BB5633"/>
    <w:rsid w:val="00BC7E96"/>
    <w:rsid w:val="00BE4D3F"/>
    <w:rsid w:val="00C11CB6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cp:lastPrinted>2022-06-23T13:27:00Z</cp:lastPrinted>
  <dcterms:created xsi:type="dcterms:W3CDTF">2019-02-22T07:09:00Z</dcterms:created>
  <dcterms:modified xsi:type="dcterms:W3CDTF">2023-03-13T06:24:00Z</dcterms:modified>
</cp:coreProperties>
</file>