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64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  <w:r/>
    </w:p>
    <w:p>
      <w:pPr>
        <w:contextualSpacing w:val="0"/>
        <w:jc w:val="center"/>
        <w:spacing w:before="0" w:after="0" w:line="264" w:lineRule="auto"/>
        <w:shd w:val="clear" w:color="auto" w:fill="ffffff"/>
        <w:widowControl w:val="o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Ханты-Мансийск                                                             «___» ____________2024 г.</w:t>
      </w:r>
      <w:r/>
    </w:p>
    <w:p>
      <w:pPr>
        <w:contextualSpacing w:val="0"/>
        <w:ind w:firstLine="709"/>
        <w:jc w:val="both"/>
        <w:spacing w:before="0" w:after="0" w:line="264" w:lineRule="auto"/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</w:t>
      </w:r>
      <w:r>
        <w:rPr>
          <w:rFonts w:ascii="Times New Roman" w:hAnsi="Times New Roman" w:cs="Times New Roman"/>
          <w:sz w:val="28"/>
          <w:szCs w:val="28"/>
        </w:rPr>
        <w:t xml:space="preserve">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вержденного постановлением Правительства Ханты-Мансийского автономного округа – Югры от 25 июня 2012 года № 214-п, с одной стороны,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«Деппромышленности Югры»,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и.</w:t>
      </w:r>
      <w:r>
        <w:rPr>
          <w:rFonts w:ascii="Times New Roman" w:hAnsi="Times New Roman" w:cs="Times New Roman"/>
          <w:bCs/>
          <w:sz w:val="28"/>
          <w:szCs w:val="28"/>
        </w:rPr>
        <w:t xml:space="preserve">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17 февраля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62-п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Департамента промышленности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09.01.2024 № 38-П-1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возложении исполнения обязанностей директора Департамента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субъекты), совместно и</w:t>
      </w:r>
      <w:r>
        <w:rPr>
          <w:rFonts w:ascii="Times New Roman" w:hAnsi="Times New Roman" w:cs="Times New Roman"/>
          <w:sz w:val="28"/>
          <w:szCs w:val="28"/>
        </w:rPr>
        <w:t xml:space="preserve">менуемые Стороны, в соответствии с постановлением Правительства Российской Федерации от 26 апреля 2023 года </w:t>
      </w:r>
      <w:r>
        <w:rPr>
          <w:rFonts w:ascii="Times New Roman" w:hAnsi="Times New Roman" w:cs="Times New Roman"/>
          <w:sz w:val="28"/>
          <w:szCs w:val="28"/>
        </w:rPr>
        <w:t xml:space="preserve">№ 662 «О случаях допустимости соглашений, заключаемых органами государственной власти субъектов Российской Федерации с хозяйствующими субъектами, в</w:t>
      </w:r>
      <w:r>
        <w:rPr>
          <w:rFonts w:ascii="Times New Roman" w:hAnsi="Times New Roman" w:cs="Times New Roman"/>
          <w:sz w:val="28"/>
          <w:szCs w:val="28"/>
        </w:rPr>
        <w:t xml:space="preserve">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 Соглашения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отдельные виды товаров, включенные в перечень о</w:t>
      </w:r>
      <w:r>
        <w:rPr>
          <w:rFonts w:ascii="Times New Roman" w:hAnsi="Times New Roman" w:cs="Times New Roman"/>
          <w:sz w:val="28"/>
          <w:szCs w:val="28"/>
        </w:rPr>
        <w:t xml:space="preserve">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Соглашению (далее – Отдельные виды товаров), указанных в пункт</w:t>
      </w:r>
      <w:r>
        <w:rPr>
          <w:rFonts w:ascii="Times New Roman" w:hAnsi="Times New Roman" w:cs="Times New Roman"/>
          <w:sz w:val="28"/>
          <w:szCs w:val="28"/>
        </w:rPr>
        <w:t xml:space="preserve">е 2 настоящего Соглашения.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</w:t>
      </w:r>
      <w:r>
        <w:rPr>
          <w:rFonts w:ascii="Times New Roman" w:hAnsi="Times New Roman" w:cs="Times New Roman"/>
          <w:sz w:val="28"/>
          <w:szCs w:val="28"/>
        </w:rPr>
        <w:t xml:space="preserve">одителя.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Сторон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1.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Хозяйствующие субъекты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  <w:r/>
    </w:p>
    <w:p>
      <w:pPr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spacing w:val="-2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 постоянное наличие Отдельных видов товаров в торговых объектах для удовлетворения потребительского спроса населения;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Устана</w:t>
      </w:r>
      <w:r>
        <w:rPr>
          <w:rFonts w:ascii="Times New Roman" w:hAnsi="Times New Roman" w:cs="Times New Roman"/>
          <w:sz w:val="28"/>
          <w:szCs w:val="28"/>
        </w:rPr>
        <w:t xml:space="preserve">вливают на Отдельные виды товаров торговую надбавку (наценку) не более 10 % на период действия Соглашения.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 Информируют Депэкономики Югры о проблемных вопросах, препятствующих выполнению взятых на себя обязательств.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 Приме</w:t>
      </w:r>
      <w:r>
        <w:rPr>
          <w:rFonts w:ascii="Times New Roman" w:hAnsi="Times New Roman" w:cs="Times New Roman"/>
          <w:sz w:val="28"/>
          <w:szCs w:val="28"/>
        </w:rPr>
        <w:t xml:space="preserve">няют отличительные ценники на Отдельные виды товаров.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На основании запросов Депэкономики Югры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b/>
          <w:bCs/>
          <w:sz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 Депэ</w:t>
      </w:r>
      <w:r>
        <w:rPr>
          <w:rFonts w:ascii="Times New Roman" w:hAnsi="Times New Roman" w:cs="Times New Roman"/>
          <w:sz w:val="28"/>
          <w:szCs w:val="28"/>
        </w:rPr>
        <w:t xml:space="preserve">кономики Югры в рамках реализации настоящего Соглашения: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подписания с прил</w:t>
      </w:r>
      <w:r>
        <w:rPr>
          <w:rFonts w:ascii="Times New Roman" w:hAnsi="Times New Roman" w:cs="Times New Roman"/>
          <w:sz w:val="28"/>
          <w:szCs w:val="28"/>
        </w:rPr>
        <w:t xml:space="preserve">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настоящего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spacing w:val="-2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/>
    </w:p>
    <w:p>
      <w:pPr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2.2.4.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  <w:r>
        <w:rPr>
          <w:b w:val="0"/>
          <w:bCs w:val="0"/>
        </w:rPr>
      </w:r>
      <w:r/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49"/>
        <w:ind w:left="709"/>
        <w:jc w:val="center"/>
        <w:spacing w:before="0"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Соглашения</w:t>
      </w:r>
      <w:r/>
    </w:p>
    <w:p>
      <w:pPr>
        <w:spacing w:line="240" w:lineRule="auto"/>
      </w:pPr>
      <w:r/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</w:t>
      </w:r>
      <w:r>
        <w:rPr>
          <w:rFonts w:ascii="Times New Roman" w:hAnsi="Times New Roman" w:cs="Times New Roman"/>
          <w:sz w:val="28"/>
          <w:szCs w:val="28"/>
        </w:rPr>
        <w:t xml:space="preserve">да Хозяйствующих субъектов из Соглашения путем направления уведомления, составленного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Соглашению.</w:t>
      </w:r>
      <w:r/>
    </w:p>
    <w:p>
      <w:pPr>
        <w:contextualSpacing w:val="0"/>
        <w:ind w:left="142" w:firstLine="566"/>
        <w:jc w:val="both"/>
        <w:spacing w:before="0" w:after="0" w:line="264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3.2. Для Хозяйствующих субъектов, присоединяющихся к настоящему Соглашению, настоящее Соглашение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даты получения Депэкономики Югры заявления,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форме, </w:t>
      </w:r>
      <w:r>
        <w:rPr>
          <w:rFonts w:ascii="Times New Roman" w:hAnsi="Times New Roman" w:cs="Times New Roman"/>
          <w:sz w:val="28"/>
          <w:szCs w:val="28"/>
        </w:rPr>
        <w:t xml:space="preserve">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  <w:r/>
    </w:p>
    <w:p>
      <w:pPr>
        <w:contextualSpacing w:val="0"/>
        <w:ind w:firstLine="708"/>
        <w:jc w:val="both"/>
        <w:spacing w:before="0" w:after="0" w:line="264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 Действие настоящего Соглашения для Хозяйствующих субъектов прекращается по истечении 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 настоящего Соглашения.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8"/>
        <w:jc w:val="center"/>
        <w:spacing w:after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положения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8" w:leader="none"/>
        </w:tabs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4.1. Споры и разн</w:t>
      </w:r>
      <w:r>
        <w:rPr>
          <w:rFonts w:ascii="Times New Roman" w:hAnsi="Times New Roman" w:cs="Times New Roman"/>
          <w:sz w:val="28"/>
          <w:szCs w:val="28"/>
        </w:rPr>
        <w:t xml:space="preserve">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502" w:leader="none"/>
        </w:tabs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4.2. Настоящее Соглашение действует до 1 января 2025 года.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4.3. Настоящее Соглашение заключается в двух экземплярах,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требованию.</w:t>
      </w:r>
      <w:r/>
    </w:p>
    <w:p>
      <w:pPr>
        <w:contextualSpacing w:val="0"/>
        <w:ind w:right="0" w:firstLine="709"/>
        <w:jc w:val="both"/>
        <w:spacing w:before="0" w:after="0" w:line="264" w:lineRule="auto"/>
        <w:tabs>
          <w:tab w:val="left" w:pos="1664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Style w:val="701"/>
        <w:tblW w:w="97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>
        <w:trPr>
          <w:trHeight w:val="1076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экономического развития Ханты-Мансийского автономного округа – Югры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промышленности Ханты-Мансийского автономного округа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Югры</w:t>
            </w:r>
            <w:r/>
          </w:p>
        </w:tc>
      </w:tr>
      <w:tr>
        <w:trPr>
          <w:trHeight w:val="1934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Адрес: 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ул. Мира, д. 5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Тел., факс: +7 (3467) 36-01-90</w:t>
            </w:r>
            <w:r/>
          </w:p>
          <w:p>
            <w:pPr>
              <w:pStyle w:val="847"/>
              <w:jc w:val="both"/>
              <w:spacing w:line="276" w:lineRule="auto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9" w:tooltip="mailto:Econ@admhmao.ru" w:history="1">
              <w:r>
                <w:rPr>
                  <w:rFonts w:eastAsia="Calibri"/>
                  <w:color w:val="000000"/>
                </w:rPr>
                <w:t xml:space="preserve">Econ@admhmao.ru</w:t>
              </w:r>
            </w:hyperlink>
            <w:r>
              <w:rPr>
                <w:color w:val="000000"/>
              </w:rPr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Рознина, д. 64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(3467)35-34-04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depprom@admhmao.ru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7"/>
        </w:trPr>
        <w:tc>
          <w:tcPr>
            <w:gridSpan w:val="2"/>
            <w:tcW w:w="44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504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промышленности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  <w:p>
            <w:pPr>
              <w:pStyle w:val="847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10"/>
        </w:trPr>
        <w:tc>
          <w:tcPr>
            <w:tcW w:w="2250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0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Наумов</w:t>
            </w:r>
            <w:r/>
          </w:p>
        </w:tc>
        <w:tc>
          <w:tcPr>
            <w:tcW w:w="74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  <w:tr>
        <w:trPr>
          <w:trHeight w:val="80"/>
        </w:trPr>
        <w:tc>
          <w:tcPr>
            <w:tcW w:w="2250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Афанасьев</w:t>
            </w:r>
            <w:r/>
          </w:p>
        </w:tc>
        <w:tc>
          <w:tcPr>
            <w:tcW w:w="2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4307" w:type="dxa"/>
            <w:vMerge w:val="continue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/>
          </w:p>
        </w:tc>
        <w:tc>
          <w:tcPr>
            <w:tcW w:w="74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</w:tbl>
    <w:p>
      <w:pPr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ж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 первой необходимости, в отношении которых могут устанавливаться предельно допустимые цены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5280" w:right="200" w:firstLine="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spacing w:line="276" w:lineRule="auto"/>
      </w:pPr>
      <w:r/>
      <w:r/>
    </w:p>
    <w:p>
      <w:pPr>
        <w:pStyle w:val="847"/>
        <w:spacing w:line="276" w:lineRule="auto"/>
      </w:pPr>
      <w:r/>
      <w:r/>
    </w:p>
    <w:p>
      <w:pPr>
        <w:pStyle w:val="847"/>
        <w:spacing w:before="106" w:line="276" w:lineRule="auto"/>
      </w:pPr>
      <w:r/>
      <w:r/>
    </w:p>
    <w:p>
      <w:pPr>
        <w:pStyle w:val="847"/>
        <w:contextualSpacing w:val="0"/>
        <w:ind w:left="212" w:right="204"/>
        <w:jc w:val="center"/>
        <w:spacing w:after="0" w:line="264" w:lineRule="auto"/>
        <w:suppressLineNumbers w:val="0"/>
      </w:pPr>
      <w:r>
        <w:rPr>
          <w:spacing w:val="-2"/>
        </w:rPr>
        <w:t xml:space="preserve">Перечень</w:t>
      </w:r>
      <w:r/>
    </w:p>
    <w:p>
      <w:pPr>
        <w:pStyle w:val="847"/>
        <w:contextualSpacing w:val="0"/>
        <w:ind w:left="379" w:right="349" w:hanging="18"/>
        <w:jc w:val="center"/>
        <w:spacing w:before="5" w:after="0" w:line="264" w:lineRule="auto"/>
        <w:suppressLineNumbers w:val="0"/>
      </w:pPr>
      <w:r>
        <w:t xml:space="preserve"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 xml:space="preserve">продовольственных</w:t>
      </w:r>
      <w:r>
        <w:rPr>
          <w:spacing w:val="-4"/>
        </w:rPr>
        <w:t xml:space="preserve"> </w:t>
      </w:r>
      <w:r>
        <w:t xml:space="preserve">товаров первой не</w:t>
      </w:r>
      <w:r>
        <w:t xml:space="preserve">обходимости,</w:t>
      </w:r>
      <w:r>
        <w:rPr>
          <w:spacing w:val="-10"/>
        </w:rPr>
        <w:t xml:space="preserve"> </w:t>
      </w:r>
      <w:r>
        <w:t xml:space="preserve">в отношении которых могут устанавливаться предельно допустимые розничные цены</w:t>
      </w:r>
      <w:r/>
    </w:p>
    <w:p>
      <w:pPr>
        <w:pStyle w:val="847"/>
        <w:spacing w:before="7" w:line="276" w:lineRule="auto"/>
      </w:pPr>
      <w:r/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Яйцо куриное, шт.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– песок,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поваренная пищевая,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шлифованный,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 (кроме куриных окорочков), кг.</w:t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Крупа гречневая - ядрица,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Хлеб ржаной, ржано-пшеничный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Мука пшеничная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кг.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Масло подсолнечное, 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709" w:right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вливаться предельно допустимые цены </w:t>
      </w:r>
      <w:r/>
    </w:p>
    <w:p>
      <w:pPr>
        <w:ind w:left="5954" w:right="284"/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Бланк организации</w:t>
      </w:r>
      <w:r/>
    </w:p>
    <w:p>
      <w:pPr>
        <w:ind w:right="1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http://econ@admhmao.ru" w:history="1">
        <w:r>
          <w:rPr>
            <w:rStyle w:val="827"/>
            <w:rFonts w:ascii="Times New Roman" w:hAnsi="Times New Roman" w:cs="Times New Roman"/>
          </w:rPr>
          <w:t xml:space="preserve"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</w:t>
      </w:r>
      <w:r>
        <w:rPr>
          <w:rFonts w:ascii="Times New Roman" w:hAnsi="Times New Roman" w:cs="Times New Roman"/>
          <w:sz w:val="24"/>
          <w:szCs w:val="24"/>
        </w:rPr>
        <w:t xml:space="preserve">ансийск, ул. Мира, д. 5 </w:t>
      </w:r>
      <w:r/>
    </w:p>
    <w:p>
      <w:pPr>
        <w:ind w:right="284"/>
      </w:pP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(исх. номер)</w:t>
      </w:r>
      <w:r/>
    </w:p>
    <w:p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  <w:r/>
    </w:p>
    <w:p>
      <w:pPr>
        <w:ind w:right="284"/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организации)</w:t>
      </w:r>
      <w:r/>
    </w:p>
    <w:p>
      <w:pPr>
        <w:ind w:right="284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</w:t>
      </w:r>
      <w:r/>
    </w:p>
    <w:p>
      <w:pPr>
        <w:ind w:right="284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(наименование товара)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284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right="284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3.2 Соглашения о принятии мер, направленных на стабилизацию розничных цен на отдельные вид</w:t>
      </w:r>
      <w:r>
        <w:rPr>
          <w:rFonts w:ascii="Times New Roman" w:hAnsi="Times New Roman" w:cs="Times New Roman"/>
          <w:sz w:val="24"/>
          <w:szCs w:val="24"/>
        </w:rPr>
        <w:t xml:space="preserve">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уведомляет будучи торговой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</w:t>
      </w:r>
      <w:r>
        <w:rPr>
          <w:rFonts w:ascii="Times New Roman" w:hAnsi="Times New Roman" w:cs="Times New Roman"/>
          <w:sz w:val="24"/>
          <w:szCs w:val="24"/>
        </w:rPr>
        <w:t xml:space="preserve"> безоговорочно принять на себя обязательства, вытекающие из Соглашения.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торговая надбавка (наценка) на виды товаров:____________________________________________________________________</w:t>
      </w:r>
      <w:r/>
    </w:p>
    <w:p>
      <w:pPr>
        <w:ind w:right="284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сокращенное: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Регион/регионы деятельности: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</w:t>
      </w:r>
      <w:r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 xml:space="preserve"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 xml:space="preserve">товаров первой необходимости, в отношении которых могут устанавли</w:t>
      </w:r>
      <w:r>
        <w:rPr>
          <w:rFonts w:ascii="Times New Roman" w:hAnsi="Times New Roman" w:cs="Times New Roman"/>
          <w:sz w:val="24"/>
          <w:szCs w:val="24"/>
        </w:rPr>
        <w:t xml:space="preserve">ваться предельно допустимые цены </w:t>
      </w:r>
      <w:r/>
    </w:p>
    <w:p>
      <w:pPr>
        <w:ind w:left="5954" w:right="284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2024 г.</w:t>
      </w:r>
      <w:r/>
    </w:p>
    <w:p>
      <w:pPr>
        <w:ind w:left="5954" w:right="284"/>
        <w:jc w:val="right"/>
        <w:spacing w:after="0" w:line="240" w:lineRule="auto"/>
      </w:pPr>
      <w:r/>
      <w:r/>
    </w:p>
    <w:p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Бланк организации</w:t>
      </w:r>
      <w:r/>
    </w:p>
    <w:p>
      <w:pPr>
        <w:ind w:left="479" w:firstLine="530"/>
        <w:jc w:val="center"/>
        <w:spacing w:before="1" w:line="24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827"/>
            <w:rFonts w:ascii="Times New Roman" w:hAnsi="Times New Roman" w:cs="Times New Roman"/>
          </w:rPr>
          <w:t xml:space="preserve">econ@admhmao.ru</w:t>
        </w:r>
      </w:hyperlink>
      <w:r/>
      <w:r/>
    </w:p>
    <w:p>
      <w:pPr>
        <w:ind w:right="284" w:firstLine="709"/>
        <w:jc w:val="right"/>
        <w:spacing w:after="0" w:line="18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right="284" w:firstLine="709"/>
        <w:jc w:val="right"/>
        <w:spacing w:after="0" w:line="182" w:lineRule="auto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(исх. номер)</w:t>
      </w:r>
      <w:r/>
    </w:p>
    <w:p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  <w:r/>
    </w:p>
    <w:p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(наименование)</w:t>
      </w:r>
      <w:r/>
    </w:p>
    <w:p>
      <w:pPr>
        <w:ind w:right="284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3.3 Соглашения о принятии мер, направленных на стабилизацию розничных цен на отдельные виды товаров, включенных в п</w:t>
      </w:r>
      <w:r>
        <w:rPr>
          <w:rFonts w:ascii="Times New Roman" w:hAnsi="Times New Roman" w:cs="Times New Roman"/>
          <w:sz w:val="24"/>
          <w:szCs w:val="24"/>
        </w:rPr>
        <w:t xml:space="preserve">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уведомляет будучи торговой организацией,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сокращенное: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Регион/регионы деятельности: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right="5386"/>
        <w:spacing w:line="240" w:lineRule="auto"/>
      </w:pPr>
      <w:r/>
      <w:r/>
    </w:p>
    <w:tbl>
      <w:tblPr>
        <w:tblStyle w:val="701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right="5386"/>
        <w:spacing w:line="240" w:lineRule="auto"/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709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3" w:hanging="4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" w:hanging="7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8" w:hanging="9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3" w:hanging="4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8" w:hanging="7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8" w:hanging="9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9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 w:default="1">
    <w:name w:val="Normal"/>
    <w:qFormat/>
  </w:style>
  <w:style w:type="paragraph" w:styleId="649">
    <w:name w:val="Heading 1"/>
    <w:basedOn w:val="648"/>
    <w:next w:val="648"/>
    <w:link w:val="6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0">
    <w:name w:val="Heading 2"/>
    <w:basedOn w:val="648"/>
    <w:next w:val="648"/>
    <w:link w:val="6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1">
    <w:name w:val="Heading 3"/>
    <w:basedOn w:val="648"/>
    <w:next w:val="648"/>
    <w:link w:val="6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2">
    <w:name w:val="Heading 4"/>
    <w:basedOn w:val="648"/>
    <w:next w:val="648"/>
    <w:link w:val="6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648"/>
    <w:next w:val="648"/>
    <w:link w:val="6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648"/>
    <w:next w:val="648"/>
    <w:link w:val="6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5">
    <w:name w:val="Heading 7"/>
    <w:basedOn w:val="648"/>
    <w:next w:val="648"/>
    <w:link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6">
    <w:name w:val="Heading 8"/>
    <w:basedOn w:val="648"/>
    <w:next w:val="648"/>
    <w:link w:val="6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7">
    <w:name w:val="Heading 9"/>
    <w:basedOn w:val="648"/>
    <w:next w:val="648"/>
    <w:link w:val="6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Heading 1 Char"/>
    <w:basedOn w:val="658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Heading 2 Char"/>
    <w:basedOn w:val="658"/>
    <w:uiPriority w:val="9"/>
    <w:rPr>
      <w:rFonts w:ascii="Arial" w:hAnsi="Arial" w:eastAsia="Arial" w:cs="Arial"/>
      <w:sz w:val="34"/>
    </w:rPr>
  </w:style>
  <w:style w:type="character" w:styleId="663" w:customStyle="1">
    <w:name w:val="Heading 3 Char"/>
    <w:basedOn w:val="658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Heading 4 Char"/>
    <w:basedOn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5 Char"/>
    <w:basedOn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6 Char"/>
    <w:basedOn w:val="658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Heading 7 Char"/>
    <w:basedOn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Heading 8 Char"/>
    <w:basedOn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Heading 9 Char"/>
    <w:basedOn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670" w:customStyle="1">
    <w:name w:val="Title Char"/>
    <w:basedOn w:val="658"/>
    <w:uiPriority w:val="10"/>
    <w:rPr>
      <w:sz w:val="48"/>
      <w:szCs w:val="48"/>
    </w:rPr>
  </w:style>
  <w:style w:type="character" w:styleId="671" w:customStyle="1">
    <w:name w:val="Subtitle Char"/>
    <w:basedOn w:val="658"/>
    <w:uiPriority w:val="11"/>
    <w:rPr>
      <w:sz w:val="24"/>
      <w:szCs w:val="24"/>
    </w:rPr>
  </w:style>
  <w:style w:type="character" w:styleId="672" w:customStyle="1">
    <w:name w:val="Quote Char"/>
    <w:uiPriority w:val="29"/>
    <w:rPr>
      <w:i/>
    </w:rPr>
  </w:style>
  <w:style w:type="character" w:styleId="673" w:customStyle="1">
    <w:name w:val="Intense Quote Char"/>
    <w:uiPriority w:val="30"/>
    <w:rPr>
      <w:i/>
    </w:rPr>
  </w:style>
  <w:style w:type="character" w:styleId="674" w:customStyle="1">
    <w:name w:val="Header Char"/>
    <w:basedOn w:val="658"/>
    <w:uiPriority w:val="99"/>
  </w:style>
  <w:style w:type="character" w:styleId="675" w:customStyle="1">
    <w:name w:val="Caption Char"/>
    <w:uiPriority w:val="99"/>
  </w:style>
  <w:style w:type="character" w:styleId="676" w:customStyle="1">
    <w:name w:val="Footnote Text Char"/>
    <w:uiPriority w:val="99"/>
    <w:rPr>
      <w:sz w:val="18"/>
    </w:rPr>
  </w:style>
  <w:style w:type="character" w:styleId="677" w:customStyle="1">
    <w:name w:val="Endnote Text Char"/>
    <w:uiPriority w:val="99"/>
    <w:rPr>
      <w:sz w:val="20"/>
    </w:rPr>
  </w:style>
  <w:style w:type="character" w:styleId="678" w:customStyle="1">
    <w:name w:val="Заголовок 1 Знак"/>
    <w:link w:val="649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50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51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Title"/>
    <w:basedOn w:val="648"/>
    <w:next w:val="648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link w:val="687"/>
    <w:uiPriority w:val="10"/>
    <w:rPr>
      <w:sz w:val="48"/>
      <w:szCs w:val="48"/>
    </w:rPr>
  </w:style>
  <w:style w:type="paragraph" w:styleId="689">
    <w:name w:val="Subtitle"/>
    <w:basedOn w:val="648"/>
    <w:next w:val="648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basedOn w:val="648"/>
    <w:next w:val="648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48"/>
    <w:next w:val="648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48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 w:customStyle="1">
    <w:name w:val="Верхний колонтитул Знак"/>
    <w:link w:val="695"/>
    <w:uiPriority w:val="99"/>
  </w:style>
  <w:style w:type="paragraph" w:styleId="697">
    <w:name w:val="Footer"/>
    <w:basedOn w:val="6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 w:customStyle="1">
    <w:name w:val="Footer Char"/>
    <w:uiPriority w:val="99"/>
  </w:style>
  <w:style w:type="paragraph" w:styleId="699">
    <w:name w:val="Caption"/>
    <w:basedOn w:val="648"/>
    <w:next w:val="64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0" w:customStyle="1">
    <w:name w:val="Нижний колонтитул Знак"/>
    <w:link w:val="697"/>
    <w:uiPriority w:val="99"/>
  </w:style>
  <w:style w:type="table" w:styleId="701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1" w:customStyle="1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2" w:customStyle="1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3" w:customStyle="1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4" w:customStyle="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5" w:customStyle="1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6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5" w:customStyle="1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6" w:customStyle="1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7" w:customStyle="1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8" w:customStyle="1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 w:customStyle="1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4" w:customStyle="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6" w:customStyle="1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8" w:customStyle="1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9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Lined - Accent 2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Lined - Accent 3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Lined - Accent 4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Lined - Accent 5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Lined - Accent 6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 &amp; Lined - Accent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Bordered &amp; Lined - Accent 2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Bordered &amp; Lined - Accent 3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Bordered &amp; Lined - Accent 4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Bordered &amp; Lined - Accent 5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Bordered &amp; Lined - Accent 6"/>
    <w:basedOn w:val="65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2" w:customStyle="1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3" w:customStyle="1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4" w:customStyle="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5" w:customStyle="1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6" w:customStyle="1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563c1" w:themeColor="hyperlink"/>
      <w:u w:val="single"/>
    </w:rPr>
  </w:style>
  <w:style w:type="paragraph" w:styleId="828">
    <w:name w:val="footnote text"/>
    <w:basedOn w:val="64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basedOn w:val="64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basedOn w:val="648"/>
    <w:next w:val="648"/>
    <w:uiPriority w:val="39"/>
    <w:unhideWhenUsed/>
    <w:pPr>
      <w:spacing w:after="57"/>
    </w:pPr>
  </w:style>
  <w:style w:type="paragraph" w:styleId="835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36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37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38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39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40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41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42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48"/>
    <w:next w:val="648"/>
    <w:uiPriority w:val="99"/>
    <w:unhideWhenUsed/>
    <w:pPr>
      <w:spacing w:after="0"/>
    </w:pPr>
  </w:style>
  <w:style w:type="paragraph" w:styleId="845">
    <w:name w:val="No Spacing"/>
    <w:basedOn w:val="648"/>
    <w:uiPriority w:val="1"/>
    <w:qFormat/>
    <w:pPr>
      <w:spacing w:after="0" w:line="240" w:lineRule="auto"/>
    </w:pPr>
  </w:style>
  <w:style w:type="paragraph" w:styleId="846">
    <w:name w:val="List Paragraph"/>
    <w:basedOn w:val="648"/>
    <w:uiPriority w:val="34"/>
    <w:qFormat/>
    <w:pPr>
      <w:contextualSpacing/>
      <w:ind w:left="720"/>
    </w:pPr>
  </w:style>
  <w:style w:type="paragraph" w:styleId="847" w:customStyle="1">
    <w:name w:val="Основной текст1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</w:rPr>
  </w:style>
  <w:style w:type="paragraph" w:styleId="84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character" w:styleId="849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850">
    <w:name w:val="annotation text"/>
    <w:basedOn w:val="648"/>
    <w:link w:val="8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1" w:customStyle="1">
    <w:name w:val="Текст примечания Знак"/>
    <w:basedOn w:val="658"/>
    <w:link w:val="850"/>
    <w:uiPriority w:val="99"/>
    <w:semiHidden/>
    <w:rPr>
      <w:sz w:val="20"/>
      <w:szCs w:val="20"/>
    </w:rPr>
  </w:style>
  <w:style w:type="paragraph" w:styleId="852">
    <w:name w:val="annotation subject"/>
    <w:basedOn w:val="850"/>
    <w:next w:val="850"/>
    <w:link w:val="853"/>
    <w:uiPriority w:val="99"/>
    <w:semiHidden/>
    <w:unhideWhenUsed/>
    <w:rPr>
      <w:b/>
      <w:bCs/>
    </w:rPr>
  </w:style>
  <w:style w:type="character" w:styleId="853" w:customStyle="1">
    <w:name w:val="Тема примечания Знак"/>
    <w:basedOn w:val="851"/>
    <w:link w:val="852"/>
    <w:uiPriority w:val="99"/>
    <w:semiHidden/>
    <w:rPr>
      <w:b/>
      <w:bCs/>
      <w:sz w:val="20"/>
      <w:szCs w:val="20"/>
    </w:rPr>
  </w:style>
  <w:style w:type="paragraph" w:styleId="854">
    <w:name w:val="Balloon Text"/>
    <w:basedOn w:val="648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58"/>
    <w:link w:val="854"/>
    <w:uiPriority w:val="99"/>
    <w:semiHidden/>
    <w:rPr>
      <w:rFonts w:ascii="Segoe UI" w:hAnsi="Segoe UI" w:cs="Segoe UI"/>
      <w:sz w:val="18"/>
      <w:szCs w:val="18"/>
    </w:rPr>
  </w:style>
  <w:style w:type="paragraph" w:styleId="85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@admhmao.ru" TargetMode="External"/><Relationship Id="rId10" Type="http://schemas.openxmlformats.org/officeDocument/2006/relationships/hyperlink" Target="http://econ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2024-01-10T09:24:00Z</dcterms:created>
  <dcterms:modified xsi:type="dcterms:W3CDTF">2024-01-18T11:06:37Z</dcterms:modified>
</cp:coreProperties>
</file>